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4785A" w14:textId="34CDE949" w:rsidR="002C6108" w:rsidRPr="002C6108" w:rsidRDefault="002C6108" w:rsidP="002C6108">
      <w:pPr>
        <w:shd w:val="clear" w:color="auto" w:fill="FFFFFF"/>
        <w:spacing w:before="100" w:beforeAutospacing="1" w:after="100" w:afterAutospacing="1" w:line="240" w:lineRule="auto"/>
        <w:rPr>
          <w:rFonts w:ascii="Arial" w:eastAsia="Times New Roman" w:hAnsi="Arial" w:cs="Arial"/>
          <w:b/>
          <w:bCs/>
          <w:color w:val="1A1A1A"/>
          <w:kern w:val="0"/>
          <w:sz w:val="28"/>
          <w:szCs w:val="28"/>
          <w:u w:val="single"/>
          <w:lang w:eastAsia="en-GB"/>
          <w14:ligatures w14:val="none"/>
        </w:rPr>
      </w:pPr>
      <w:r w:rsidRPr="002C6108">
        <w:rPr>
          <w:rFonts w:ascii="Arial" w:eastAsia="Times New Roman" w:hAnsi="Arial" w:cs="Arial"/>
          <w:b/>
          <w:bCs/>
          <w:color w:val="1A1A1A"/>
          <w:kern w:val="0"/>
          <w:sz w:val="28"/>
          <w:szCs w:val="28"/>
          <w:u w:val="single"/>
          <w:lang w:eastAsia="en-GB"/>
          <w14:ligatures w14:val="none"/>
        </w:rPr>
        <w:t>BIODIVERSITY NET GAIN Review of Metric 3 tool SG Sep</w:t>
      </w:r>
      <w:r>
        <w:rPr>
          <w:rFonts w:ascii="Arial" w:eastAsia="Times New Roman" w:hAnsi="Arial" w:cs="Arial"/>
          <w:b/>
          <w:bCs/>
          <w:color w:val="1A1A1A"/>
          <w:kern w:val="0"/>
          <w:sz w:val="28"/>
          <w:szCs w:val="28"/>
          <w:u w:val="single"/>
          <w:lang w:eastAsia="en-GB"/>
          <w14:ligatures w14:val="none"/>
        </w:rPr>
        <w:t xml:space="preserve"> 20</w:t>
      </w:r>
      <w:r w:rsidRPr="002C6108">
        <w:rPr>
          <w:rFonts w:ascii="Arial" w:eastAsia="Times New Roman" w:hAnsi="Arial" w:cs="Arial"/>
          <w:b/>
          <w:bCs/>
          <w:color w:val="1A1A1A"/>
          <w:kern w:val="0"/>
          <w:sz w:val="28"/>
          <w:szCs w:val="28"/>
          <w:u w:val="single"/>
          <w:lang w:eastAsia="en-GB"/>
          <w14:ligatures w14:val="none"/>
        </w:rPr>
        <w:t>23</w:t>
      </w:r>
    </w:p>
    <w:p w14:paraId="7AB6F389" w14:textId="01B6F367" w:rsidR="002C6108" w:rsidRPr="002C6108" w:rsidRDefault="002C6108" w:rsidP="002C6108">
      <w:pPr>
        <w:shd w:val="clear" w:color="auto" w:fill="FFFFFF"/>
        <w:spacing w:before="100" w:beforeAutospacing="1" w:after="100" w:afterAutospacing="1" w:line="240" w:lineRule="auto"/>
        <w:rPr>
          <w:rFonts w:ascii="Arial" w:eastAsia="Times New Roman" w:hAnsi="Arial" w:cs="Arial"/>
          <w:color w:val="1A1A1A"/>
          <w:kern w:val="0"/>
          <w:sz w:val="28"/>
          <w:szCs w:val="28"/>
          <w:lang w:eastAsia="en-GB"/>
          <w14:ligatures w14:val="none"/>
        </w:rPr>
      </w:pPr>
      <w:r w:rsidRPr="002C6108">
        <w:rPr>
          <w:rFonts w:ascii="Arial" w:eastAsia="Times New Roman" w:hAnsi="Arial" w:cs="Arial"/>
          <w:color w:val="1A1A1A"/>
          <w:kern w:val="0"/>
          <w:sz w:val="28"/>
          <w:szCs w:val="28"/>
          <w:lang w:eastAsia="en-GB"/>
          <w14:ligatures w14:val="none"/>
        </w:rPr>
        <w:t>The Metric 3.1 is simply a calculation tool and should therefore be used in line with best practice and legislation and local and national policies. The accompanying Users Guide thus outlines a set of principles and rules (Panks et al. 2022; Annex 5 Biodiversity Metric 3.1). Metric 3.1 does not replace legislation and policies relating to statutory protected sites, irreplaceable habitats and protected species. Environmental Impact Assessments, Strategic Environmental Assessments, and Habitat Regulations Assessments still underpin planning and other consenting decisions.</w:t>
      </w:r>
    </w:p>
    <w:p w14:paraId="57A9CDEC" w14:textId="77777777" w:rsidR="002C6108" w:rsidRPr="002C6108" w:rsidRDefault="002C6108" w:rsidP="002C6108">
      <w:pPr>
        <w:shd w:val="clear" w:color="auto" w:fill="FFFFFF"/>
        <w:spacing w:before="100" w:beforeAutospacing="1" w:after="100" w:afterAutospacing="1" w:line="240" w:lineRule="auto"/>
        <w:rPr>
          <w:rFonts w:ascii="Arial" w:eastAsia="Times New Roman" w:hAnsi="Arial" w:cs="Arial"/>
          <w:color w:val="1A1A1A"/>
          <w:kern w:val="0"/>
          <w:sz w:val="28"/>
          <w:szCs w:val="28"/>
          <w:lang w:eastAsia="en-GB"/>
          <w14:ligatures w14:val="none"/>
        </w:rPr>
      </w:pPr>
      <w:r w:rsidRPr="002C6108">
        <w:rPr>
          <w:rFonts w:ascii="Arial" w:eastAsia="Times New Roman" w:hAnsi="Arial" w:cs="Arial"/>
          <w:color w:val="1A1A1A"/>
          <w:kern w:val="0"/>
          <w:sz w:val="28"/>
          <w:szCs w:val="28"/>
          <w:lang w:eastAsia="en-GB"/>
          <w14:ligatures w14:val="none"/>
        </w:rPr>
        <w:t>The Metric outputs, decisions, and management actions should be considered in conjunction with legislation, best practice and professional advice. Decisions should consider wider physical and ecological factors (e.g. landscape composition and configuration, historical land use, and ecological constraints) and social factors to ensure that outcomes provide both biodiversity and societal benefits. While planners can use the metric to explore different scenarios, decision making should be underpinned by professional advice to optimise biodiversity outcomes. Furthermore, practical interventions should be developed through consultation with both ecologists and practitioners, to ensure that they are viable and realistic and long-term monitoring should be conducted to identify and rectify problems. If used correctly, the metric can help inform planning, and decision making to increase the biodiversity benefits achieved from developments and change in land use/management.</w:t>
      </w:r>
    </w:p>
    <w:p w14:paraId="284DBA04" w14:textId="77777777" w:rsidR="002C6108" w:rsidRPr="002C6108" w:rsidRDefault="002C6108" w:rsidP="002C6108">
      <w:pPr>
        <w:shd w:val="clear" w:color="auto" w:fill="FFFFFF"/>
        <w:spacing w:before="100" w:beforeAutospacing="1" w:after="100" w:afterAutospacing="1" w:line="240" w:lineRule="auto"/>
        <w:outlineLvl w:val="3"/>
        <w:rPr>
          <w:rFonts w:ascii="Arial" w:eastAsia="Times New Roman" w:hAnsi="Arial" w:cs="Arial"/>
          <w:b/>
          <w:bCs/>
          <w:color w:val="1A1A1A"/>
          <w:kern w:val="0"/>
          <w:sz w:val="28"/>
          <w:szCs w:val="28"/>
          <w:lang w:eastAsia="en-GB"/>
          <w14:ligatures w14:val="none"/>
        </w:rPr>
      </w:pPr>
      <w:r w:rsidRPr="002C6108">
        <w:rPr>
          <w:rFonts w:ascii="Arial" w:eastAsia="Times New Roman" w:hAnsi="Arial" w:cs="Arial"/>
          <w:b/>
          <w:bCs/>
          <w:color w:val="1A1A1A"/>
          <w:kern w:val="0"/>
          <w:sz w:val="28"/>
          <w:szCs w:val="28"/>
          <w:lang w:eastAsia="en-GB"/>
          <w14:ligatures w14:val="none"/>
        </w:rPr>
        <w:t>BNG: Irreplaceable habitats</w:t>
      </w:r>
    </w:p>
    <w:p w14:paraId="48E5F8C7" w14:textId="77777777" w:rsidR="002C6108" w:rsidRPr="002C6108" w:rsidRDefault="002C6108" w:rsidP="002C6108">
      <w:pPr>
        <w:shd w:val="clear" w:color="auto" w:fill="FFFFFF"/>
        <w:spacing w:before="100" w:beforeAutospacing="1" w:after="100" w:afterAutospacing="1" w:line="240" w:lineRule="auto"/>
        <w:rPr>
          <w:rFonts w:ascii="Arial" w:eastAsia="Times New Roman" w:hAnsi="Arial" w:cs="Arial"/>
          <w:color w:val="1A1A1A"/>
          <w:kern w:val="0"/>
          <w:sz w:val="28"/>
          <w:szCs w:val="28"/>
          <w:lang w:eastAsia="en-GB"/>
          <w14:ligatures w14:val="none"/>
        </w:rPr>
      </w:pPr>
      <w:r w:rsidRPr="002C6108">
        <w:rPr>
          <w:rFonts w:ascii="Arial" w:eastAsia="Times New Roman" w:hAnsi="Arial" w:cs="Arial"/>
          <w:color w:val="1A1A1A"/>
          <w:kern w:val="0"/>
          <w:sz w:val="28"/>
          <w:szCs w:val="28"/>
          <w:lang w:eastAsia="en-GB"/>
          <w14:ligatures w14:val="none"/>
        </w:rPr>
        <w:t>In the UK, irreplaceable habitats (i.e. habitats of high biodiversity value which are very difficult and/or take an extremely long time to restore, recreate or replace) and species of conservation concern are protected by existing policy and legislation. There is some debate on what habitats are irreplaceable and Defra is currently formulating a definitive list. This is likely to include ancient woodland, ancient and veteran trees, blanket bog, raised bog and limestone pavements.</w:t>
      </w:r>
    </w:p>
    <w:p w14:paraId="3985D584" w14:textId="77777777" w:rsidR="002C6108" w:rsidRPr="002C6108" w:rsidRDefault="002C6108" w:rsidP="002C6108">
      <w:pPr>
        <w:shd w:val="clear" w:color="auto" w:fill="FFFFFF"/>
        <w:spacing w:before="100" w:beforeAutospacing="1" w:after="100" w:afterAutospacing="1" w:line="240" w:lineRule="auto"/>
        <w:rPr>
          <w:rFonts w:ascii="Arial" w:eastAsia="Times New Roman" w:hAnsi="Arial" w:cs="Arial"/>
          <w:color w:val="1A1A1A"/>
          <w:kern w:val="0"/>
          <w:sz w:val="28"/>
          <w:szCs w:val="28"/>
          <w:lang w:eastAsia="en-GB"/>
          <w14:ligatures w14:val="none"/>
        </w:rPr>
      </w:pPr>
      <w:r w:rsidRPr="002C6108">
        <w:rPr>
          <w:rFonts w:ascii="Arial" w:eastAsia="Times New Roman" w:hAnsi="Arial" w:cs="Arial"/>
          <w:color w:val="1A1A1A"/>
          <w:kern w:val="0"/>
          <w:sz w:val="28"/>
          <w:szCs w:val="28"/>
          <w:lang w:eastAsia="en-GB"/>
          <w14:ligatures w14:val="none"/>
        </w:rPr>
        <w:t xml:space="preserve">In the Planning and Development sector irreplaceable habitats are identified during the initial Ecological/Environmental Impact Assessment stage. BNG cannot be achieved if an irreplaceable habitat is to be adversely impacted and </w:t>
      </w:r>
      <w:proofErr w:type="gramStart"/>
      <w:r w:rsidRPr="002C6108">
        <w:rPr>
          <w:rFonts w:ascii="Arial" w:eastAsia="Times New Roman" w:hAnsi="Arial" w:cs="Arial"/>
          <w:color w:val="1A1A1A"/>
          <w:kern w:val="0"/>
          <w:sz w:val="28"/>
          <w:szCs w:val="28"/>
          <w:lang w:eastAsia="en-GB"/>
          <w14:ligatures w14:val="none"/>
        </w:rPr>
        <w:t>consequently</w:t>
      </w:r>
      <w:proofErr w:type="gramEnd"/>
      <w:r w:rsidRPr="002C6108">
        <w:rPr>
          <w:rFonts w:ascii="Arial" w:eastAsia="Times New Roman" w:hAnsi="Arial" w:cs="Arial"/>
          <w:color w:val="1A1A1A"/>
          <w:kern w:val="0"/>
          <w:sz w:val="28"/>
          <w:szCs w:val="28"/>
          <w:lang w:eastAsia="en-GB"/>
          <w14:ligatures w14:val="none"/>
        </w:rPr>
        <w:t xml:space="preserve"> they are considered independently requiring bespoke compensation in line with legislation. Similarly, Habitats that have high ecological value (i.e. Very High Distinctiveness habitats) also require bespoke compensation.</w:t>
      </w:r>
    </w:p>
    <w:p w14:paraId="5E5D0005" w14:textId="77777777" w:rsidR="002C6108" w:rsidRPr="002C6108" w:rsidRDefault="002C6108" w:rsidP="002C6108">
      <w:pPr>
        <w:shd w:val="clear" w:color="auto" w:fill="FFFFFF"/>
        <w:spacing w:before="100" w:beforeAutospacing="1" w:after="100" w:afterAutospacing="1" w:line="240" w:lineRule="auto"/>
        <w:rPr>
          <w:rFonts w:ascii="Arial" w:eastAsia="Times New Roman" w:hAnsi="Arial" w:cs="Arial"/>
          <w:color w:val="1A1A1A"/>
          <w:kern w:val="0"/>
          <w:sz w:val="28"/>
          <w:szCs w:val="28"/>
          <w:lang w:eastAsia="en-GB"/>
          <w14:ligatures w14:val="none"/>
        </w:rPr>
      </w:pPr>
      <w:r w:rsidRPr="002C6108">
        <w:rPr>
          <w:rFonts w:ascii="Arial" w:eastAsia="Times New Roman" w:hAnsi="Arial" w:cs="Arial"/>
          <w:color w:val="1A1A1A"/>
          <w:kern w:val="0"/>
          <w:sz w:val="28"/>
          <w:szCs w:val="28"/>
          <w:lang w:eastAsia="en-GB"/>
          <w14:ligatures w14:val="none"/>
        </w:rPr>
        <w:lastRenderedPageBreak/>
        <w:t xml:space="preserve">Because irreplaceable habitats require bespoke compensation, Metric 3.1 is not designed to deal with them (Panks et al. 2022). Very High Distinctiveness habitats and Irreplaceable habitats are only included in BNG calculations when these habitats are to be retained and/or enhanced. Irreplaceable habitats are typically categorised as Very High Distinctiveness in Metric 3.1. Ancient woodlands, by definition, include both ancient woodlands and plantations on previous ancient woodland sites and additionally vary in the dominant species. Ancient woodland and Veteran trees are therefore not included in Metric 3.1 as </w:t>
      </w:r>
      <w:proofErr w:type="gramStart"/>
      <w:r w:rsidRPr="002C6108">
        <w:rPr>
          <w:rFonts w:ascii="Arial" w:eastAsia="Times New Roman" w:hAnsi="Arial" w:cs="Arial"/>
          <w:color w:val="1A1A1A"/>
          <w:kern w:val="0"/>
          <w:sz w:val="28"/>
          <w:szCs w:val="28"/>
          <w:lang w:eastAsia="en-GB"/>
          <w14:ligatures w14:val="none"/>
        </w:rPr>
        <w:t>habitats/features in their own right</w:t>
      </w:r>
      <w:proofErr w:type="gramEnd"/>
      <w:r w:rsidRPr="002C6108">
        <w:rPr>
          <w:rFonts w:ascii="Arial" w:eastAsia="Times New Roman" w:hAnsi="Arial" w:cs="Arial"/>
          <w:color w:val="1A1A1A"/>
          <w:kern w:val="0"/>
          <w:sz w:val="28"/>
          <w:szCs w:val="28"/>
          <w:lang w:eastAsia="en-GB"/>
          <w14:ligatures w14:val="none"/>
        </w:rPr>
        <w:t>. They are instead grouped with other Woodlands (High Distinctiveness) or in the case of Veteran trees within a Line of Trees (Ecologically valuable) (Medium Distinctiveness). Ancient woodland is currently protected by existing policy and legislation, and therefore it is assumed that where present this would be identified, relevant protection implemented, and bespoke compensation put in place.</w:t>
      </w:r>
    </w:p>
    <w:p w14:paraId="42B3C901" w14:textId="6266B723" w:rsidR="002C6108" w:rsidRDefault="002C6108">
      <w:r>
        <w:rPr>
          <w:noProof/>
        </w:rPr>
        <w:drawing>
          <wp:inline distT="0" distB="0" distL="0" distR="0" wp14:anchorId="198CAD7C" wp14:editId="3A6F6FBC">
            <wp:extent cx="5731510" cy="2965557"/>
            <wp:effectExtent l="0" t="0" r="2540" b="635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2965557"/>
                    </a:xfrm>
                    <a:prstGeom prst="rect">
                      <a:avLst/>
                    </a:prstGeom>
                    <a:noFill/>
                    <a:ln>
                      <a:noFill/>
                    </a:ln>
                  </pic:spPr>
                </pic:pic>
              </a:graphicData>
            </a:graphic>
          </wp:inline>
        </w:drawing>
      </w:r>
    </w:p>
    <w:sectPr w:rsidR="002C61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108"/>
    <w:rsid w:val="002C6108"/>
    <w:rsid w:val="00E72F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05136"/>
  <w15:chartTrackingRefBased/>
  <w15:docId w15:val="{17544BB0-17DD-447A-8456-B6DB9C9A0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61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61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61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61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61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61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61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61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61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1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61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61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61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61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61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61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61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6108"/>
    <w:rPr>
      <w:rFonts w:eastAsiaTheme="majorEastAsia" w:cstheme="majorBidi"/>
      <w:color w:val="272727" w:themeColor="text1" w:themeTint="D8"/>
    </w:rPr>
  </w:style>
  <w:style w:type="paragraph" w:styleId="Title">
    <w:name w:val="Title"/>
    <w:basedOn w:val="Normal"/>
    <w:next w:val="Normal"/>
    <w:link w:val="TitleChar"/>
    <w:uiPriority w:val="10"/>
    <w:qFormat/>
    <w:rsid w:val="002C61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61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61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61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6108"/>
    <w:pPr>
      <w:spacing w:before="160"/>
      <w:jc w:val="center"/>
    </w:pPr>
    <w:rPr>
      <w:i/>
      <w:iCs/>
      <w:color w:val="404040" w:themeColor="text1" w:themeTint="BF"/>
    </w:rPr>
  </w:style>
  <w:style w:type="character" w:customStyle="1" w:styleId="QuoteChar">
    <w:name w:val="Quote Char"/>
    <w:basedOn w:val="DefaultParagraphFont"/>
    <w:link w:val="Quote"/>
    <w:uiPriority w:val="29"/>
    <w:rsid w:val="002C6108"/>
    <w:rPr>
      <w:i/>
      <w:iCs/>
      <w:color w:val="404040" w:themeColor="text1" w:themeTint="BF"/>
    </w:rPr>
  </w:style>
  <w:style w:type="paragraph" w:styleId="ListParagraph">
    <w:name w:val="List Paragraph"/>
    <w:basedOn w:val="Normal"/>
    <w:uiPriority w:val="34"/>
    <w:qFormat/>
    <w:rsid w:val="002C6108"/>
    <w:pPr>
      <w:ind w:left="720"/>
      <w:contextualSpacing/>
    </w:pPr>
  </w:style>
  <w:style w:type="character" w:styleId="IntenseEmphasis">
    <w:name w:val="Intense Emphasis"/>
    <w:basedOn w:val="DefaultParagraphFont"/>
    <w:uiPriority w:val="21"/>
    <w:qFormat/>
    <w:rsid w:val="002C6108"/>
    <w:rPr>
      <w:i/>
      <w:iCs/>
      <w:color w:val="0F4761" w:themeColor="accent1" w:themeShade="BF"/>
    </w:rPr>
  </w:style>
  <w:style w:type="paragraph" w:styleId="IntenseQuote">
    <w:name w:val="Intense Quote"/>
    <w:basedOn w:val="Normal"/>
    <w:next w:val="Normal"/>
    <w:link w:val="IntenseQuoteChar"/>
    <w:uiPriority w:val="30"/>
    <w:qFormat/>
    <w:rsid w:val="002C61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6108"/>
    <w:rPr>
      <w:i/>
      <w:iCs/>
      <w:color w:val="0F4761" w:themeColor="accent1" w:themeShade="BF"/>
    </w:rPr>
  </w:style>
  <w:style w:type="character" w:styleId="IntenseReference">
    <w:name w:val="Intense Reference"/>
    <w:basedOn w:val="DefaultParagraphFont"/>
    <w:uiPriority w:val="32"/>
    <w:qFormat/>
    <w:rsid w:val="002C61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Thornhill Secretary</dc:creator>
  <cp:keywords/>
  <dc:description/>
  <cp:lastModifiedBy>Thornhill Secretary</cp:lastModifiedBy>
  <cp:revision>1</cp:revision>
  <dcterms:created xsi:type="dcterms:W3CDTF">2026-07-06T07:06:00Z</dcterms:created>
  <dcterms:modified xsi:type="dcterms:W3CDTF">2026-07-06T07:25:00Z</dcterms:modified>
</cp:coreProperties>
</file>